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67D4" w14:textId="77777777" w:rsidR="002B43B9" w:rsidRDefault="002B43B9" w:rsidP="006751D1">
      <w:pPr>
        <w:jc w:val="both"/>
        <w:rPr>
          <w:rFonts w:ascii="Calibri" w:eastAsia="MS Gothic" w:hAnsi="Calibri" w:cs="Calibri"/>
          <w:b/>
          <w:bCs/>
          <w:color w:val="000000"/>
          <w:sz w:val="32"/>
          <w:lang w:eastAsia="pt-PT"/>
        </w:rPr>
      </w:pPr>
    </w:p>
    <w:p w14:paraId="33971695" w14:textId="464A309D" w:rsidR="000042AA" w:rsidRDefault="000042AA"/>
    <w:p w14:paraId="3C4216B9" w14:textId="50938C7B" w:rsidR="000042AA" w:rsidRPr="00F02DA6" w:rsidRDefault="000042AA" w:rsidP="000042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Artigo 1º</w:t>
      </w:r>
    </w:p>
    <w:p w14:paraId="464FB079" w14:textId="77777777" w:rsidR="002B43B9" w:rsidRPr="00F02DA6" w:rsidRDefault="002B43B9" w:rsidP="002B43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Objeto e Âmbito de Aplicação</w:t>
      </w:r>
    </w:p>
    <w:p w14:paraId="2387BFC0" w14:textId="2E9DCAA7" w:rsidR="002B43B9" w:rsidRPr="00F02DA6" w:rsidRDefault="002B43B9" w:rsidP="006751D1">
      <w:pPr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Nos  termos  do  Decreto-Lei  nº  64/2006,  de  21  de  março  e  tendo  em  conta  as alterações subsequentes i</w:t>
      </w:r>
      <w:r w:rsidR="00F02DA6">
        <w:rPr>
          <w:rFonts w:asciiTheme="minorHAnsi" w:hAnsiTheme="minorHAnsi" w:cstheme="minorHAnsi"/>
          <w:sz w:val="24"/>
          <w:szCs w:val="24"/>
        </w:rPr>
        <w:t>ntroduzidas pelo Decreto-Lei nº</w:t>
      </w:r>
      <w:r w:rsidRPr="00F02DA6">
        <w:rPr>
          <w:rFonts w:asciiTheme="minorHAnsi" w:hAnsiTheme="minorHAnsi" w:cstheme="minorHAnsi"/>
          <w:sz w:val="24"/>
          <w:szCs w:val="24"/>
        </w:rPr>
        <w:t xml:space="preserve"> 113/2014, de 16</w:t>
      </w:r>
      <w:r w:rsidR="00F02DA6">
        <w:rPr>
          <w:rFonts w:asciiTheme="minorHAnsi" w:hAnsiTheme="minorHAnsi" w:cstheme="minorHAnsi"/>
          <w:sz w:val="24"/>
          <w:szCs w:val="24"/>
        </w:rPr>
        <w:t xml:space="preserve"> de julho e pelo Decreto-Lei nº</w:t>
      </w:r>
      <w:r w:rsidRPr="00F02DA6">
        <w:rPr>
          <w:rFonts w:asciiTheme="minorHAnsi" w:hAnsiTheme="minorHAnsi" w:cstheme="minorHAnsi"/>
          <w:sz w:val="24"/>
          <w:szCs w:val="24"/>
        </w:rPr>
        <w:t xml:space="preserve"> 63/2016, de 13 de setembro, o Conselho Técnico-científico do ISTEC —Instituto Superior de Tecnologias Avançadas Porto, doravante apenas designado neste regulamento por ISTEC do Porto, aprova o regulamento das provas especialmente  adequadas  a  avaliar  a  capacidade  para  a  frequência  do  ensino superior dos Maiores de 23 anos.</w:t>
      </w:r>
    </w:p>
    <w:p w14:paraId="43E1BEA2" w14:textId="465B27BD" w:rsidR="002B43B9" w:rsidRPr="00F02DA6" w:rsidRDefault="002B43B9" w:rsidP="006751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10642A" w14:textId="77777777" w:rsidR="002B43B9" w:rsidRPr="00F02DA6" w:rsidRDefault="002B43B9" w:rsidP="006751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5B6DA3" w14:textId="77777777" w:rsidR="00DC2D7B" w:rsidRPr="00F02DA6" w:rsidRDefault="00DC2D7B" w:rsidP="006751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8F55D1" w14:textId="77777777" w:rsidR="000042AA" w:rsidRPr="00F02DA6" w:rsidRDefault="000042AA" w:rsidP="000042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 xml:space="preserve">Artigo 2º </w:t>
      </w:r>
    </w:p>
    <w:p w14:paraId="0ECF7274" w14:textId="77777777" w:rsidR="002B43B9" w:rsidRPr="00F02DA6" w:rsidRDefault="002B43B9" w:rsidP="002B43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Inscrição e Épocas de Realização de Provas</w:t>
      </w:r>
    </w:p>
    <w:p w14:paraId="6AD4D73F" w14:textId="1804C0A4" w:rsidR="002B43B9" w:rsidRPr="00F02DA6" w:rsidRDefault="002B43B9" w:rsidP="002B43B9">
      <w:pPr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1 — Podem inscrever-se para a realização das provas especialmente adequadas a avaliar a capacidade para a frequência dos cursos de n ̂ nível superior (cursos técnicos ́ superiores profissionais e licenciaturas de 1.o ciclo), os candidatos que tenham completado 23 anos até ao dia 31 de dezembro do ano que antecede a realização das provas. </w:t>
      </w:r>
    </w:p>
    <w:p w14:paraId="2EB65B14" w14:textId="55E0533A" w:rsidR="002B43B9" w:rsidRPr="00F02DA6" w:rsidRDefault="002B43B9" w:rsidP="002B43B9">
      <w:pPr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2 — Existem, em cada ano, duas épocas, cada uma com duas chamadas (1. ª chamada e 2.ª chamada), para a realização das provas, a fixar por deliberação do Conselho Técnico-Científico do ISTEC do Porto. </w:t>
      </w:r>
    </w:p>
    <w:p w14:paraId="2AB516B7" w14:textId="153E6473" w:rsidR="002B43B9" w:rsidRPr="00F02DA6" w:rsidRDefault="002B43B9" w:rsidP="002B43B9">
      <w:pPr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3 — A inscrição para a realização das provas apresentada na secretaria do ISTEC, de 30 de abril a 10 de maio, para a 1.ª Época, ou de 30 de maio a 10 de junho, para a 2.ª Época, consoante o candidato pretende a ser admitido as provas de 1. ̀ ª ou 2.ª Época. </w:t>
      </w:r>
    </w:p>
    <w:p w14:paraId="2C341037" w14:textId="77777777" w:rsidR="002B43B9" w:rsidRPr="00F02DA6" w:rsidRDefault="002B43B9" w:rsidP="002B43B9">
      <w:pPr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 4 — Do processo de inscrição devem constar os seguintes documentos: </w:t>
      </w:r>
    </w:p>
    <w:p w14:paraId="37BDD10B" w14:textId="77777777" w:rsidR="002B43B9" w:rsidRPr="00F02DA6" w:rsidRDefault="002B43B9" w:rsidP="002B43B9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 a) Ficha de Inscrição devidamente preenchida, identificando o curso objeto de candidatura;</w:t>
      </w:r>
    </w:p>
    <w:p w14:paraId="7D7C7FE6" w14:textId="774B2695" w:rsidR="002B43B9" w:rsidRPr="00F02DA6" w:rsidRDefault="002B43B9" w:rsidP="002B43B9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 b) Curriculum Vitae detalhado, no qual constem documentos (diplomas, certificados de Habilitações, relatórios, obras de que seja autor, portfolio, etc.) que o candidato considere uteis para demonstrar as suas Habilitações académicas e qualificações profissionais; </w:t>
      </w:r>
    </w:p>
    <w:p w14:paraId="3AF1B615" w14:textId="0F38FE8C" w:rsidR="00DC2D7B" w:rsidRPr="00F02DA6" w:rsidRDefault="002B43B9" w:rsidP="002B43B9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c) Fotocopia do Cartão de Cidadão ao/Bilhete de Identidade.</w:t>
      </w:r>
    </w:p>
    <w:p w14:paraId="56BA4193" w14:textId="77777777" w:rsidR="00DC2D7B" w:rsidRPr="00F02DA6" w:rsidRDefault="00DC2D7B" w:rsidP="000042A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344129E" w14:textId="77777777" w:rsidR="00DC2D7B" w:rsidRPr="00F02DA6" w:rsidRDefault="000042AA" w:rsidP="00DC2D7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Artigo 3º</w:t>
      </w:r>
    </w:p>
    <w:p w14:paraId="7B3E11D9" w14:textId="001B7BC7" w:rsidR="00DC2D7B" w:rsidRPr="00F02DA6" w:rsidRDefault="002B43B9" w:rsidP="002B43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Componentes de Avaliação</w:t>
      </w:r>
    </w:p>
    <w:p w14:paraId="12C4936E" w14:textId="77777777" w:rsidR="001673FE" w:rsidRPr="00F02DA6" w:rsidRDefault="001673FE" w:rsidP="002B43B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58A6B3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1 - Constituem componentes da avaliação da candidatura:</w:t>
      </w:r>
    </w:p>
    <w:p w14:paraId="55FFDC4B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a) A apreciação do currículo escolar e profissional do candidato;</w:t>
      </w:r>
    </w:p>
    <w:p w14:paraId="53B31D16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b) A avaliação das motivações apresentadas pelo candidato para a escolha do </w:t>
      </w:r>
      <w:r w:rsidRPr="00F02DA6">
        <w:rPr>
          <w:rFonts w:asciiTheme="minorHAnsi" w:hAnsiTheme="minorHAnsi" w:cstheme="minorHAnsi"/>
          <w:sz w:val="24"/>
          <w:szCs w:val="24"/>
        </w:rPr>
        <w:lastRenderedPageBreak/>
        <w:t>curso, através da realização de uma entrevista;</w:t>
      </w:r>
    </w:p>
    <w:p w14:paraId="196FA7CA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c) A realização de uma prova específica, traduzida numa avaliação de capacidade de assimilação e exposição, em duas partes:</w:t>
      </w:r>
    </w:p>
    <w:p w14:paraId="6B84BF34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Primeira Parte - audição por parte do candidato de uma lição proferida por um docente do ISTEC, na área das tecnologias de informação, com a duração de uma hora;</w:t>
      </w:r>
    </w:p>
    <w:p w14:paraId="5EA83163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Segunda Parte - apresentação escrita por parte do candidato de uma exposição sucinta da mesma lição, dispondo de uma hora para a elaborar.</w:t>
      </w:r>
    </w:p>
    <w:p w14:paraId="757B9AC6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2 - As componentes de avaliação realizam-se pela seguinte ordem:</w:t>
      </w:r>
    </w:p>
    <w:p w14:paraId="21ED88C8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a) Primeiro realizar-se-á a prova prevista na alínea c) do n.º 1 do artigo 2.º;</w:t>
      </w:r>
    </w:p>
    <w:p w14:paraId="30A51508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02DA6">
        <w:rPr>
          <w:rFonts w:asciiTheme="minorHAnsi" w:hAnsiTheme="minorHAnsi" w:cstheme="minorHAnsi"/>
          <w:sz w:val="24"/>
          <w:szCs w:val="24"/>
        </w:rPr>
        <w:t>b) Posteriormente</w:t>
      </w:r>
      <w:proofErr w:type="gramEnd"/>
      <w:r w:rsidRPr="00F02DA6">
        <w:rPr>
          <w:rFonts w:asciiTheme="minorHAnsi" w:hAnsiTheme="minorHAnsi" w:cstheme="minorHAnsi"/>
          <w:sz w:val="24"/>
          <w:szCs w:val="24"/>
        </w:rPr>
        <w:t>, em conjunto, as provas previstas nas alíneas a) e b) do n.º 1 do artigo 2.º</w:t>
      </w:r>
    </w:p>
    <w:p w14:paraId="23FC836D" w14:textId="3449EAE1" w:rsidR="00DC2D7B" w:rsidRPr="00F02DA6" w:rsidRDefault="002B43B9" w:rsidP="002B43B9">
      <w:pPr>
        <w:jc w:val="center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0A1171" w14:textId="610F5353" w:rsidR="000042AA" w:rsidRPr="00F02DA6" w:rsidRDefault="000042AA" w:rsidP="000042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Artigo 4º</w:t>
      </w:r>
    </w:p>
    <w:p w14:paraId="594809BD" w14:textId="77777777" w:rsidR="001673FE" w:rsidRPr="00F02DA6" w:rsidRDefault="001673FE" w:rsidP="001673F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Critérios a utilizar na análise do currículo escolar e profissional</w:t>
      </w:r>
    </w:p>
    <w:p w14:paraId="704504F2" w14:textId="55708B6B" w:rsidR="001673FE" w:rsidRPr="00F02DA6" w:rsidRDefault="001673FE" w:rsidP="001673FE">
      <w:pPr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No que diz respeito à apreciação do currículo escolar e profissional dos candidatos, devem ser considerados os seguintes critérios e respetivas ponderações percentuais:</w:t>
      </w:r>
    </w:p>
    <w:p w14:paraId="59A1733E" w14:textId="21CEF687" w:rsidR="001673FE" w:rsidRPr="00F02DA6" w:rsidRDefault="001673FE" w:rsidP="001673FE">
      <w:pPr>
        <w:rPr>
          <w:rFonts w:asciiTheme="minorHAnsi" w:hAnsiTheme="minorHAnsi" w:cstheme="minorHAnsi"/>
          <w:sz w:val="24"/>
          <w:szCs w:val="24"/>
        </w:rPr>
      </w:pPr>
    </w:p>
    <w:p w14:paraId="22DBAEE7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a) Atividade profissional desenvolvida (20 %);</w:t>
      </w:r>
    </w:p>
    <w:p w14:paraId="60D1987A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b) Adequação das habilitações escolares (50 %);</w:t>
      </w:r>
    </w:p>
    <w:p w14:paraId="63D361E0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c) Adequação da formação complementar, nomeadamente, profissional (15 %);</w:t>
      </w:r>
    </w:p>
    <w:p w14:paraId="3F5EBB3F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d) Nível e extensão da experiência profissional (15 %).</w:t>
      </w:r>
    </w:p>
    <w:p w14:paraId="5A6FA208" w14:textId="7F55176E" w:rsidR="00340FB6" w:rsidRDefault="00340FB6" w:rsidP="00340FB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Artigo 5</w:t>
      </w:r>
      <w:r w:rsidRPr="00F02DA6">
        <w:rPr>
          <w:rFonts w:asciiTheme="minorHAnsi" w:hAnsiTheme="minorHAnsi" w:cstheme="minorHAnsi"/>
          <w:b/>
          <w:bCs/>
          <w:sz w:val="24"/>
          <w:szCs w:val="24"/>
        </w:rPr>
        <w:t>º</w:t>
      </w:r>
    </w:p>
    <w:p w14:paraId="7E70CBEC" w14:textId="7834048D" w:rsidR="00340FB6" w:rsidRPr="00F02DA6" w:rsidRDefault="00340FB6" w:rsidP="00340FB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Critérios a utilizar na avaliação das motivações para a frequência de um determinado curso</w:t>
      </w:r>
    </w:p>
    <w:p w14:paraId="0C1B4654" w14:textId="77777777" w:rsidR="00DC2D7B" w:rsidRPr="00F02DA6" w:rsidRDefault="00DC2D7B" w:rsidP="00DC2D7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09E52A" w14:textId="77777777" w:rsidR="001673FE" w:rsidRPr="00F02DA6" w:rsidRDefault="001673FE" w:rsidP="001673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No que diz respeito à avaliação das motivações apresentadas pelo candidato para a escolha de um determinado curso, devem ser considerados os seguintes critérios e respetivas ponderações percentuais:</w:t>
      </w:r>
    </w:p>
    <w:p w14:paraId="00A97DAA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a) Nível e clareza da justificação apresentada (25 %);</w:t>
      </w:r>
    </w:p>
    <w:p w14:paraId="01468A8D" w14:textId="74C8FCF6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b) Compreensão da natureza do curso, objetivos, quadro geral de conhecimentos e competências a proporcionar e perspetivas profissionais, nomeadamente, no que diz respeito à inserção e empregabilidade (75 %).</w:t>
      </w:r>
    </w:p>
    <w:p w14:paraId="5D9D5D0E" w14:textId="76742E93" w:rsidR="001673FE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22BA94C" w14:textId="400AB807" w:rsidR="00F02DA6" w:rsidRDefault="00F02DA6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642C233" w14:textId="77777777" w:rsidR="00F02DA6" w:rsidRPr="00F02DA6" w:rsidRDefault="00F02DA6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A3DE1A6" w14:textId="77777777" w:rsidR="001673FE" w:rsidRPr="00F02DA6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Artigo 6.º</w:t>
      </w:r>
    </w:p>
    <w:p w14:paraId="0306528B" w14:textId="77777777" w:rsidR="001673FE" w:rsidRPr="00F02DA6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2DA6">
        <w:rPr>
          <w:rFonts w:asciiTheme="minorHAnsi" w:hAnsiTheme="minorHAnsi" w:cstheme="minorHAnsi"/>
          <w:b/>
          <w:bCs/>
          <w:sz w:val="24"/>
          <w:szCs w:val="24"/>
        </w:rPr>
        <w:t>Critérios a utilizar na avaliação da prova específica</w:t>
      </w:r>
    </w:p>
    <w:p w14:paraId="2499504C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No que diz respeito à prova específica realizada pelos candidatos, devem avaliar-se os seguintes desideratos:</w:t>
      </w:r>
    </w:p>
    <w:p w14:paraId="28AA3E07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a) A compreensão do tema exposto (25 %);</w:t>
      </w:r>
    </w:p>
    <w:p w14:paraId="261A5412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b) O nível de clareza e correção da expressão escrita (25 %);</w:t>
      </w:r>
    </w:p>
    <w:p w14:paraId="5B17F73D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c) A organização e sistematização da exposição escrita (25 %);</w:t>
      </w:r>
    </w:p>
    <w:p w14:paraId="4174C64D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d) A reflexão crítica (25 %).</w:t>
      </w:r>
    </w:p>
    <w:p w14:paraId="37E83FC1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7.º</w:t>
      </w:r>
    </w:p>
    <w:p w14:paraId="63E2A966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Classificação final do candidato</w:t>
      </w:r>
    </w:p>
    <w:p w14:paraId="0989A98A" w14:textId="6CC15C10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1 - </w:t>
      </w:r>
      <w:proofErr w:type="gramStart"/>
      <w:r w:rsidR="00F02DA6">
        <w:rPr>
          <w:rFonts w:asciiTheme="minorHAnsi" w:hAnsiTheme="minorHAnsi" w:cstheme="minorHAnsi"/>
          <w:sz w:val="24"/>
          <w:szCs w:val="24"/>
        </w:rPr>
        <w:t>A entrevista e</w:t>
      </w:r>
      <w:r w:rsidR="00F02DA6" w:rsidRPr="00F02DA6">
        <w:rPr>
          <w:rFonts w:asciiTheme="minorHAnsi" w:hAnsiTheme="minorHAnsi" w:cstheme="minorHAnsi"/>
          <w:sz w:val="24"/>
          <w:szCs w:val="24"/>
        </w:rPr>
        <w:t xml:space="preserve"> a apreciação</w:t>
      </w:r>
      <w:proofErr w:type="gramEnd"/>
      <w:r w:rsidRPr="00F02DA6">
        <w:rPr>
          <w:rFonts w:asciiTheme="minorHAnsi" w:hAnsiTheme="minorHAnsi" w:cstheme="minorHAnsi"/>
          <w:sz w:val="24"/>
          <w:szCs w:val="24"/>
        </w:rPr>
        <w:t xml:space="preserve"> curricular do candidato representam, cada uma, 25 % da classificação final.</w:t>
      </w:r>
    </w:p>
    <w:p w14:paraId="0139D3CD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2 - A prova específica representa 50 % da classificação final.</w:t>
      </w:r>
    </w:p>
    <w:p w14:paraId="227F0996" w14:textId="7E9F8D08" w:rsidR="001673FE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3 - A classificação final e as respetivas componentes de avaliação exprimem-se numa escala de 0 (zero) a 20 (vinte) valores, traduzindo-se em números inteiros, sendo as 5 (cinco) décimas arredondadas para a unidade imediatamente superior.</w:t>
      </w:r>
    </w:p>
    <w:p w14:paraId="49F256D4" w14:textId="77777777" w:rsidR="00340FB6" w:rsidRPr="00F02DA6" w:rsidRDefault="00340FB6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E9F761D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8.º</w:t>
      </w:r>
    </w:p>
    <w:p w14:paraId="46832BD6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Critérios de seriação e de desempate</w:t>
      </w:r>
    </w:p>
    <w:p w14:paraId="31358530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Os candidatos que obtenham aprovação nas provas especialmente adequadas a avaliar a capacidade para a frequência do ensino superior dos Maiores de 23 anos, serão seriados por aplicação sucessiva dos seguintes critérios:</w:t>
      </w:r>
    </w:p>
    <w:p w14:paraId="6D43511C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a) Classificação final obtida nas provas, por ordem decrescente;</w:t>
      </w:r>
    </w:p>
    <w:p w14:paraId="4A8B94BC" w14:textId="7777777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b) Habilitação académica anterior obtida pelo candidato, sendo dada prioridade </w:t>
      </w:r>
      <w:r w:rsidRPr="00F02DA6">
        <w:rPr>
          <w:rFonts w:asciiTheme="minorHAnsi" w:hAnsiTheme="minorHAnsi" w:cstheme="minorHAnsi"/>
          <w:sz w:val="24"/>
          <w:szCs w:val="24"/>
        </w:rPr>
        <w:lastRenderedPageBreak/>
        <w:t>aqueles que tenham obtido uma habilitação mais elevada;</w:t>
      </w:r>
    </w:p>
    <w:p w14:paraId="67D5C9FC" w14:textId="5DE4EFE7" w:rsidR="001673FE" w:rsidRPr="00F02DA6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c) Classificação final da habilitação académica anterior obtida pelo candidato, sendo dada prioridade aqueles que tenham obtido uma classificação superior.</w:t>
      </w:r>
    </w:p>
    <w:p w14:paraId="32D44AC2" w14:textId="7A2120AD" w:rsidR="001673FE" w:rsidRDefault="001673FE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3EF7A51" w14:textId="75345DCC" w:rsidR="00F02DA6" w:rsidRDefault="00F02DA6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4FF5C48" w14:textId="77777777" w:rsidR="00F02DA6" w:rsidRPr="00F02DA6" w:rsidRDefault="00F02DA6" w:rsidP="001673FE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FB2B2A6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9.º</w:t>
      </w:r>
    </w:p>
    <w:p w14:paraId="557C4592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Júri de organização das provas</w:t>
      </w:r>
    </w:p>
    <w:p w14:paraId="1B85E5E1" w14:textId="3E00AEB1" w:rsidR="001673FE" w:rsidRPr="00F02DA6" w:rsidRDefault="001673FE" w:rsidP="001673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O Conselho Técnico-Científico do ISTEC nomeia, em cada ano letivo, o júri de organização das provas, constituído por três elementos, um dos quais presidirá.</w:t>
      </w:r>
    </w:p>
    <w:p w14:paraId="3B3A929E" w14:textId="77777777" w:rsidR="001673FE" w:rsidRPr="00F02DA6" w:rsidRDefault="001673FE" w:rsidP="001673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D0BB88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10.º</w:t>
      </w:r>
    </w:p>
    <w:p w14:paraId="34B74598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Número de vagas</w:t>
      </w:r>
    </w:p>
    <w:p w14:paraId="75F5B55A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1 - O número total de vagas aberto anualmente insere-se no âmbito dos chamados regimes especiais, não podendo ser inferior a 5 % do número de vagas fixado para o conjunto dos cursos.</w:t>
      </w:r>
    </w:p>
    <w:p w14:paraId="6E3B356E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2 - Em cada ano letivo, o Conselho Técnico-Científico, fixará o número de vagas por curso deste regime.</w:t>
      </w:r>
    </w:p>
    <w:p w14:paraId="1E95F6A2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11.º</w:t>
      </w:r>
    </w:p>
    <w:p w14:paraId="7A236DE7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Efeitos e validade</w:t>
      </w:r>
    </w:p>
    <w:p w14:paraId="266DAA81" w14:textId="626EECA0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As provas especialmente adequadas destinadas a avaliar a capacidade para a frequência do ensino superior para a matrícula e inscrição num ano letivo, são válidas apenas para o ano letivo a que se referem.</w:t>
      </w:r>
    </w:p>
    <w:p w14:paraId="6DAE0B7C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48FB8F61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12.º</w:t>
      </w:r>
    </w:p>
    <w:p w14:paraId="75B8557A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Candidatos à matrícula e inscrição nos cursos do ISTEC de candidatos aprovados em outros estabelecimentos de ensino superior</w:t>
      </w:r>
    </w:p>
    <w:p w14:paraId="3BB40FF9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1 - Podem ser admitidos à matrícula e inscrição nos cursos do ISTEC, candidatos </w:t>
      </w:r>
      <w:r w:rsidRPr="00F02DA6">
        <w:rPr>
          <w:rFonts w:asciiTheme="minorHAnsi" w:hAnsiTheme="minorHAnsi" w:cstheme="minorHAnsi"/>
          <w:sz w:val="24"/>
          <w:szCs w:val="24"/>
        </w:rPr>
        <w:lastRenderedPageBreak/>
        <w:t>aprovados em provas de ingresso de outros estabelecimentos de ensino superior desde que as provas respetivas sejam consideradas adequadas.</w:t>
      </w:r>
    </w:p>
    <w:p w14:paraId="05D5979B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2 - A deliberação referente à matéria prevista no número anterior é da competência do Conselho Técnico-Científico do ISTEC.</w:t>
      </w:r>
    </w:p>
    <w:p w14:paraId="0300AF58" w14:textId="77777777" w:rsidR="00F02DA6" w:rsidRDefault="00F02DA6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38FC64B3" w14:textId="77777777" w:rsidR="00F02DA6" w:rsidRDefault="00F02DA6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0DA504BC" w14:textId="77777777" w:rsidR="00F02DA6" w:rsidRDefault="00F02DA6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6E25C81C" w14:textId="45B00B0E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13.º</w:t>
      </w:r>
    </w:p>
    <w:p w14:paraId="3A7AB9DB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Recurso das classificações</w:t>
      </w:r>
    </w:p>
    <w:p w14:paraId="1138DEC1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No prazo de 10 (dez) dias úteis contados a partir da data de publicação dos resultados, os candidatos podem recorrer das classificações obtidas, mediante a apresentação de uma exposição fundamentada dirigida ao Presidente do Conselho Técnico-Científico do ISTEC, órgão que, deliberará, em definitivo, no prazo de 5 (cinco) dias úteis.</w:t>
      </w:r>
    </w:p>
    <w:p w14:paraId="4DC63D92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4934F15D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14.º</w:t>
      </w:r>
    </w:p>
    <w:p w14:paraId="0F1C6923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Interpretação e lacunas</w:t>
      </w:r>
    </w:p>
    <w:p w14:paraId="4FFA09DA" w14:textId="77777777" w:rsidR="001673FE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As interpretações que se justificarem e os casos omissos serão resolvidos por despacho do Diretor do ISTEC, consultado o Conselho Técnico-Científico.</w:t>
      </w:r>
    </w:p>
    <w:p w14:paraId="4658DB7E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15.º</w:t>
      </w:r>
    </w:p>
    <w:p w14:paraId="59E94ECF" w14:textId="77777777" w:rsidR="001673FE" w:rsidRPr="00E334A0" w:rsidRDefault="001673FE" w:rsidP="001673F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E334A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Entrada em vigor</w:t>
      </w:r>
    </w:p>
    <w:p w14:paraId="15F5F983" w14:textId="77777777" w:rsidR="00F02DA6" w:rsidRPr="00F02DA6" w:rsidRDefault="001673FE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>O presente regulamento entra em vigor no dia a seguir ao da sua publicação no sítio do ISTEC do Porto (www.istec-porto.pt) e nos demais locais habituais</w:t>
      </w:r>
    </w:p>
    <w:p w14:paraId="63F99676" w14:textId="0F7E7A00" w:rsidR="00F02DA6" w:rsidRDefault="000417B2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Direção do ITA</w:t>
      </w:r>
    </w:p>
    <w:p w14:paraId="021AFC6A" w14:textId="0FA800FD" w:rsidR="000417B2" w:rsidRPr="00F02DA6" w:rsidRDefault="000417B2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Augusto Ferreira Guedes</w:t>
      </w:r>
    </w:p>
    <w:p w14:paraId="1ADC0E6E" w14:textId="77777777" w:rsidR="00340FB6" w:rsidRDefault="00340FB6" w:rsidP="001673FE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Diretor do ISTEC </w:t>
      </w:r>
      <w:r w:rsidR="001673FE" w:rsidRPr="00F02DA6">
        <w:rPr>
          <w:rFonts w:asciiTheme="minorHAnsi" w:hAnsiTheme="minorHAnsi" w:cstheme="minorHAnsi"/>
          <w:sz w:val="24"/>
          <w:szCs w:val="24"/>
        </w:rPr>
        <w:t>Porto</w:t>
      </w:r>
    </w:p>
    <w:p w14:paraId="31077802" w14:textId="028AC809" w:rsidR="00FB27A8" w:rsidRPr="000417B2" w:rsidRDefault="001673FE" w:rsidP="000417B2">
      <w:pPr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F02DA6">
        <w:rPr>
          <w:rFonts w:asciiTheme="minorHAnsi" w:hAnsiTheme="minorHAnsi" w:cstheme="minorHAnsi"/>
          <w:sz w:val="24"/>
          <w:szCs w:val="24"/>
        </w:rPr>
        <w:t xml:space="preserve"> (António Castro Silva)</w:t>
      </w:r>
      <w:bookmarkStart w:id="0" w:name="_GoBack"/>
      <w:bookmarkEnd w:id="0"/>
    </w:p>
    <w:sectPr w:rsidR="00FB27A8" w:rsidRPr="000417B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B3DB" w14:textId="77777777" w:rsidR="001E217C" w:rsidRDefault="001E217C" w:rsidP="000042AA">
      <w:r>
        <w:separator/>
      </w:r>
    </w:p>
  </w:endnote>
  <w:endnote w:type="continuationSeparator" w:id="0">
    <w:p w14:paraId="133ABB4E" w14:textId="77777777" w:rsidR="001E217C" w:rsidRDefault="001E217C" w:rsidP="0000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77A92" w14:textId="1C81F9E1" w:rsidR="00E47F94" w:rsidRPr="00F02DA6" w:rsidRDefault="00E47F94" w:rsidP="00E47F94">
    <w:pPr>
      <w:pStyle w:val="Rodap"/>
      <w:jc w:val="right"/>
      <w:rPr>
        <w:rFonts w:asciiTheme="minorHAnsi" w:hAnsiTheme="minorHAnsi" w:cstheme="minorHAnsi"/>
        <w:bCs/>
        <w:sz w:val="18"/>
        <w:szCs w:val="18"/>
      </w:rPr>
    </w:pPr>
    <w:r w:rsidRPr="00F02DA6">
      <w:rPr>
        <w:rFonts w:asciiTheme="minorHAnsi" w:hAnsiTheme="minorHAnsi" w:cstheme="minorHAnsi"/>
        <w:bCs/>
        <w:sz w:val="18"/>
        <w:szCs w:val="18"/>
      </w:rPr>
      <w:t>IP-REG-</w:t>
    </w:r>
    <w:r w:rsidR="00DC2D7B" w:rsidRPr="00F02DA6">
      <w:rPr>
        <w:rFonts w:asciiTheme="minorHAnsi" w:hAnsiTheme="minorHAnsi" w:cstheme="minorHAnsi"/>
        <w:bCs/>
        <w:sz w:val="18"/>
        <w:szCs w:val="18"/>
      </w:rPr>
      <w:t>1</w:t>
    </w:r>
    <w:r w:rsidR="002B43B9" w:rsidRPr="00F02DA6">
      <w:rPr>
        <w:rFonts w:asciiTheme="minorHAnsi" w:hAnsiTheme="minorHAnsi" w:cstheme="minorHAnsi"/>
        <w:bCs/>
        <w:sz w:val="18"/>
        <w:szCs w:val="18"/>
      </w:rPr>
      <w:t>5</w:t>
    </w:r>
    <w:r w:rsidR="00F02DA6" w:rsidRPr="00F02DA6">
      <w:rPr>
        <w:rFonts w:asciiTheme="minorHAnsi" w:hAnsiTheme="minorHAnsi" w:cstheme="minorHAnsi"/>
        <w:bCs/>
        <w:sz w:val="18"/>
        <w:szCs w:val="18"/>
      </w:rPr>
      <w:t>-RO-1219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5CB91" w14:textId="77777777" w:rsidR="001E217C" w:rsidRDefault="001E217C" w:rsidP="000042AA">
      <w:r>
        <w:separator/>
      </w:r>
    </w:p>
  </w:footnote>
  <w:footnote w:type="continuationSeparator" w:id="0">
    <w:p w14:paraId="75E8C7EC" w14:textId="77777777" w:rsidR="001E217C" w:rsidRDefault="001E217C" w:rsidP="0000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489B" w14:textId="24AAEDD6" w:rsidR="00210651" w:rsidRDefault="00210651" w:rsidP="00F02DA6">
    <w:pPr>
      <w:jc w:val="center"/>
      <w:rPr>
        <w:rFonts w:ascii="Calibri" w:eastAsia="MS Gothic" w:hAnsi="Calibri" w:cs="Calibri"/>
        <w:bCs/>
        <w:color w:val="000000"/>
        <w:sz w:val="32"/>
        <w:lang w:eastAsia="pt-PT"/>
      </w:rPr>
    </w:pPr>
    <w:r w:rsidRPr="00CE6191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930904A" wp14:editId="244D4899">
          <wp:simplePos x="0" y="0"/>
          <wp:positionH relativeFrom="column">
            <wp:posOffset>-814070</wp:posOffset>
          </wp:positionH>
          <wp:positionV relativeFrom="paragraph">
            <wp:posOffset>-259080</wp:posOffset>
          </wp:positionV>
          <wp:extent cx="1229360" cy="309245"/>
          <wp:effectExtent l="0" t="0" r="8890" b="0"/>
          <wp:wrapTight wrapText="bothSides">
            <wp:wrapPolygon edited="0">
              <wp:start x="0" y="0"/>
              <wp:lineTo x="0" y="19959"/>
              <wp:lineTo x="21421" y="19959"/>
              <wp:lineTo x="21421" y="0"/>
              <wp:lineTo x="0" y="0"/>
            </wp:wrapPolygon>
          </wp:wrapTight>
          <wp:docPr id="74" name="Imagem 74" descr="C:\Users\Vania\AppData\Local\Microsoft\Windows\INetCache\Content.Word\beAsset 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ia\AppData\Local\Microsoft\Windows\INetCache\Content.Word\beAsset 2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42822" w14:textId="26B263C9" w:rsidR="00F02DA6" w:rsidRPr="00CE6191" w:rsidRDefault="00F02DA6" w:rsidP="00F02DA6">
    <w:pPr>
      <w:jc w:val="center"/>
      <w:rPr>
        <w:rFonts w:ascii="Calibri" w:eastAsia="MS Gothic" w:hAnsi="Calibri" w:cs="Calibri"/>
        <w:bCs/>
        <w:color w:val="000000"/>
        <w:sz w:val="32"/>
        <w:lang w:eastAsia="pt-PT"/>
      </w:rPr>
    </w:pPr>
    <w:r w:rsidRPr="00CE6191">
      <w:rPr>
        <w:rFonts w:ascii="Calibri" w:eastAsia="MS Gothic" w:hAnsi="Calibri" w:cs="Calibri"/>
        <w:bCs/>
        <w:color w:val="000000"/>
        <w:sz w:val="32"/>
        <w:lang w:eastAsia="pt-PT"/>
      </w:rPr>
      <w:t>Regulamento Referente às Provas Especialmente Adequadas a Avaliar a Capacidade para a Frequência do Ensino Superior dos Maiores de 23 Anos</w:t>
    </w:r>
  </w:p>
  <w:p w14:paraId="5BD058F2" w14:textId="4661999A" w:rsidR="000042AA" w:rsidRDefault="000042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CE3"/>
    <w:multiLevelType w:val="hybridMultilevel"/>
    <w:tmpl w:val="B524984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E0A"/>
    <w:multiLevelType w:val="hybridMultilevel"/>
    <w:tmpl w:val="DFA8E280"/>
    <w:lvl w:ilvl="0" w:tplc="FB86DA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4B40AC"/>
    <w:multiLevelType w:val="hybridMultilevel"/>
    <w:tmpl w:val="ED1293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AA"/>
    <w:rsid w:val="000042AA"/>
    <w:rsid w:val="000417B2"/>
    <w:rsid w:val="000450BE"/>
    <w:rsid w:val="00075997"/>
    <w:rsid w:val="001673FE"/>
    <w:rsid w:val="001E217C"/>
    <w:rsid w:val="00210651"/>
    <w:rsid w:val="002765FE"/>
    <w:rsid w:val="002B43B9"/>
    <w:rsid w:val="00340FB6"/>
    <w:rsid w:val="003D43AB"/>
    <w:rsid w:val="00402BCB"/>
    <w:rsid w:val="004B3D5D"/>
    <w:rsid w:val="00530F64"/>
    <w:rsid w:val="005540BD"/>
    <w:rsid w:val="00564218"/>
    <w:rsid w:val="005E438C"/>
    <w:rsid w:val="00605B09"/>
    <w:rsid w:val="00607791"/>
    <w:rsid w:val="006751D1"/>
    <w:rsid w:val="00771014"/>
    <w:rsid w:val="00771A5E"/>
    <w:rsid w:val="007C5BD7"/>
    <w:rsid w:val="007E1B45"/>
    <w:rsid w:val="00896674"/>
    <w:rsid w:val="008A1089"/>
    <w:rsid w:val="008E732D"/>
    <w:rsid w:val="00A03315"/>
    <w:rsid w:val="00A244A5"/>
    <w:rsid w:val="00A83D56"/>
    <w:rsid w:val="00AF2BA5"/>
    <w:rsid w:val="00B2267D"/>
    <w:rsid w:val="00CB3622"/>
    <w:rsid w:val="00CE6191"/>
    <w:rsid w:val="00D33A0D"/>
    <w:rsid w:val="00DC2D7B"/>
    <w:rsid w:val="00E334A0"/>
    <w:rsid w:val="00E40814"/>
    <w:rsid w:val="00E47F94"/>
    <w:rsid w:val="00E53E9A"/>
    <w:rsid w:val="00F02DA6"/>
    <w:rsid w:val="00FB27A8"/>
    <w:rsid w:val="00FB4036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CB4C"/>
  <w15:chartTrackingRefBased/>
  <w15:docId w15:val="{78E8A73F-91B2-4B62-98C5-CD3D550E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abealho2">
    <w:name w:val="heading 2"/>
    <w:basedOn w:val="Normal"/>
    <w:link w:val="Cabealho2Carter"/>
    <w:uiPriority w:val="9"/>
    <w:unhideWhenUsed/>
    <w:qFormat/>
    <w:rsid w:val="000042AA"/>
    <w:pPr>
      <w:ind w:left="3909" w:right="3916"/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042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2AA"/>
  </w:style>
  <w:style w:type="paragraph" w:styleId="Rodap">
    <w:name w:val="footer"/>
    <w:basedOn w:val="Normal"/>
    <w:link w:val="RodapCarter"/>
    <w:uiPriority w:val="99"/>
    <w:unhideWhenUsed/>
    <w:rsid w:val="000042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42AA"/>
  </w:style>
  <w:style w:type="character" w:customStyle="1" w:styleId="Cabealho2Carter">
    <w:name w:val="Cabeçalho 2 Caráter"/>
    <w:basedOn w:val="Tipodeletrapredefinidodopargrafo"/>
    <w:link w:val="Cabealho2"/>
    <w:uiPriority w:val="9"/>
    <w:rsid w:val="000042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0042AA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042AA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51D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2BCB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02BC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44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44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88186C6F1F74994199830F7FF0EC5" ma:contentTypeVersion="2" ma:contentTypeDescription="Criar um novo documento." ma:contentTypeScope="" ma:versionID="c3b9de1511b88218f9375fe09eb66aab">
  <xsd:schema xmlns:xsd="http://www.w3.org/2001/XMLSchema" xmlns:xs="http://www.w3.org/2001/XMLSchema" xmlns:p="http://schemas.microsoft.com/office/2006/metadata/properties" xmlns:ns2="4f42dddd-9326-4129-82d6-4bccafe87599" targetNamespace="http://schemas.microsoft.com/office/2006/metadata/properties" ma:root="true" ma:fieldsID="7d4a0257097fd7e3b06325cdb94dcef9" ns2:_="">
    <xsd:import namespace="4f42dddd-9326-4129-82d6-4bccafe8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dddd-9326-4129-82d6-4bccafe8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D258-72E2-4E91-B2B4-B1B833BB0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E6A29-676C-43A6-934C-ED8F9B7DA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dddd-9326-4129-82d6-4bccafe8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865A9-1D5D-4C7A-96F6-A9A16EB62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C295B9-59D5-475D-8FAF-DBD3435B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1160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Pimenta</dc:creator>
  <cp:keywords/>
  <dc:description/>
  <cp:lastModifiedBy>Rosa M. Branco</cp:lastModifiedBy>
  <cp:revision>17</cp:revision>
  <cp:lastPrinted>2021-05-12T13:10:00Z</cp:lastPrinted>
  <dcterms:created xsi:type="dcterms:W3CDTF">2021-03-11T16:33:00Z</dcterms:created>
  <dcterms:modified xsi:type="dcterms:W3CDTF">2021-05-12T13:15:00Z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0x01010012B88186C6F1F74994199830F7FF0EC5</vt:lpwstr>
  </property>
</Properties>
</file>